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11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«УТВЕРЖДАЮ»</w:t>
      </w:r>
    </w:p>
    <w:p w14:paraId="02000000">
      <w:pPr>
        <w:widowControl w:val="1"/>
        <w:ind w:left="411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14:paraId="03000000">
      <w:pPr>
        <w:widowControl w:val="1"/>
        <w:ind w:left="4111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 w:left="425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sz w:val="28"/>
        </w:rPr>
        <w:t>(подпись на оригинале)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В.Ю. Виноградов</w:t>
      </w:r>
    </w:p>
    <w:p w14:paraId="05000000">
      <w:pPr>
        <w:widowControl w:val="1"/>
        <w:ind w:left="411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b w:val="1"/>
          <w:sz w:val="28"/>
        </w:rPr>
        <w:t>» май 2016 года</w:t>
      </w:r>
    </w:p>
    <w:p w14:paraId="06000000">
      <w:pPr>
        <w:rPr>
          <w:rFonts w:ascii="Times New Roman" w:hAnsi="Times New Roman"/>
          <w:b w:val="1"/>
          <w:sz w:val="28"/>
        </w:rPr>
      </w:pPr>
    </w:p>
    <w:p w14:paraId="07000000">
      <w:pPr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09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результатам публичных слушаний </w:t>
      </w:r>
      <w:r>
        <w:rPr>
          <w:rFonts w:ascii="Times New Roman" w:hAnsi="Times New Roman"/>
          <w:b w:val="1"/>
          <w:sz w:val="28"/>
        </w:rPr>
        <w:t xml:space="preserve">по проекту планировки территории транспортно-пересадочного узла </w:t>
      </w:r>
      <w:r>
        <w:rPr>
          <w:rFonts w:ascii="Times New Roman" w:hAnsi="Times New Roman"/>
          <w:b w:val="1"/>
          <w:sz w:val="28"/>
        </w:rPr>
        <w:t xml:space="preserve">(ТПУ)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Владыкино</w:t>
      </w:r>
      <w:r>
        <w:rPr>
          <w:rFonts w:ascii="Times New Roman" w:hAnsi="Times New Roman"/>
          <w:b w:val="1"/>
          <w:sz w:val="28"/>
        </w:rPr>
        <w:t xml:space="preserve">» </w:t>
      </w:r>
    </w:p>
    <w:p w14:paraId="0A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(район Марфино)</w:t>
      </w:r>
    </w:p>
    <w:p w14:paraId="0B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сведения о проекте, представленном на публичные слушания:</w:t>
      </w:r>
    </w:p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Территория разработки: </w:t>
      </w:r>
      <w:r>
        <w:rPr>
          <w:rFonts w:ascii="Times New Roman" w:hAnsi="Times New Roman"/>
          <w:sz w:val="28"/>
        </w:rPr>
        <w:t xml:space="preserve">город Москва, </w:t>
      </w:r>
      <w:r>
        <w:rPr>
          <w:rFonts w:ascii="Times New Roman" w:hAnsi="Times New Roman"/>
          <w:sz w:val="28"/>
        </w:rPr>
        <w:t>Северо-Восточный административный округ</w:t>
      </w:r>
      <w:r>
        <w:rPr>
          <w:rFonts w:ascii="Times New Roman" w:hAnsi="Times New Roman"/>
          <w:sz w:val="28"/>
        </w:rPr>
        <w:t>, район Марфино, материалы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проекту планировки территории транспортно-пересадочного узла </w:t>
      </w:r>
      <w:r>
        <w:rPr>
          <w:rFonts w:ascii="Times New Roman" w:hAnsi="Times New Roman"/>
          <w:sz w:val="28"/>
        </w:rPr>
        <w:t xml:space="preserve">(ТПУ)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Владыкино</w:t>
      </w:r>
      <w:r>
        <w:rPr>
          <w:rFonts w:ascii="Times New Roman" w:hAnsi="Times New Roman"/>
          <w:sz w:val="28"/>
        </w:rPr>
        <w:t xml:space="preserve">». </w:t>
      </w:r>
    </w:p>
    <w:p w14:paraId="0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Сроки разработки: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201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год.</w:t>
      </w: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Организация – заказчик: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0"/>
          <w:sz w:val="28"/>
        </w:rPr>
        <w:t>АО</w:t>
      </w:r>
      <w:r>
        <w:rPr>
          <w:rFonts w:ascii="Times New Roman" w:hAnsi="Times New Roman"/>
          <w:sz w:val="28"/>
        </w:rPr>
        <w:t xml:space="preserve"> «Московская кольцевая железная дорога».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Адрес: 109147, г. Москва, ул. Таганская, дом 34, стр. 3, телефон: 8-495-788-10-92, электронная почта: </w:t>
      </w:r>
      <w:r>
        <w:rPr>
          <w:rFonts w:ascii="Times New Roman" w:hAnsi="Times New Roman"/>
          <w:color w:val="0000FF"/>
          <w:sz w:val="28"/>
          <w:highlight w:val="white"/>
          <w:u w:val="single"/>
        </w:rPr>
        <w:fldChar w:fldCharType="begin"/>
      </w:r>
      <w:r>
        <w:rPr>
          <w:rFonts w:ascii="Times New Roman" w:hAnsi="Times New Roman"/>
          <w:color w:val="0000FF"/>
          <w:sz w:val="28"/>
          <w:highlight w:val="white"/>
          <w:u w:val="single"/>
        </w:rPr>
        <w:instrText>HYPERLINK "mailto:info@mkzd.ru"</w:instrText>
      </w:r>
      <w:r>
        <w:rPr>
          <w:rFonts w:ascii="Times New Roman" w:hAnsi="Times New Roman"/>
          <w:color w:val="0000FF"/>
          <w:sz w:val="28"/>
          <w:highlight w:val="white"/>
          <w:u w:val="single"/>
        </w:rPr>
        <w:fldChar w:fldCharType="separate"/>
      </w:r>
      <w:r>
        <w:rPr>
          <w:rFonts w:ascii="Times New Roman" w:hAnsi="Times New Roman"/>
          <w:color w:val="0000FF"/>
          <w:sz w:val="28"/>
          <w:highlight w:val="white"/>
          <w:u w:val="single"/>
        </w:rPr>
        <w:t>info@mkzd.ru</w:t>
      </w:r>
      <w:r>
        <w:rPr>
          <w:rFonts w:ascii="Times New Roman" w:hAnsi="Times New Roman"/>
          <w:color w:val="0000FF"/>
          <w:sz w:val="28"/>
          <w:highlight w:val="white"/>
          <w:u w:val="singl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Организация-разработчик:</w:t>
      </w:r>
      <w:r>
        <w:rPr>
          <w:rFonts w:ascii="Times New Roman" w:hAnsi="Times New Roman"/>
          <w:sz w:val="28"/>
        </w:rPr>
        <w:t xml:space="preserve"> ГУП «Научно-исследовательский и проектный институт Генерального плана города Москвы» Адрес: 125047, Москва,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2-я Брестская, д.2/14, телефон: 8-499-250-95-96, электронн</w:t>
      </w:r>
      <w:r>
        <w:rPr>
          <w:rFonts w:ascii="Times New Roman" w:hAnsi="Times New Roman"/>
          <w:sz w:val="28"/>
        </w:rPr>
        <w:t>ая почта</w:t>
      </w:r>
      <w:r>
        <w:rPr>
          <w:rFonts w:ascii="Times New Roman" w:hAnsi="Times New Roman"/>
          <w:sz w:val="28"/>
        </w:rPr>
        <w:t>: genplan@mka.mos.ru.</w:t>
      </w: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Сроки проведения публичных слушаний: </w:t>
      </w:r>
      <w:r>
        <w:rPr>
          <w:rFonts w:ascii="Times New Roman" w:hAnsi="Times New Roman"/>
          <w:sz w:val="28"/>
        </w:rPr>
        <w:t xml:space="preserve">оповещение опубликовано в окружной газете «Звездный бульвар» № 12 (474), выход в свет 28.03.2016, экспозиция проведена с 04.04.2016 по 13.04.2016, собрание состоялось –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14 апреля 2016 года.</w:t>
      </w:r>
    </w:p>
    <w:p w14:paraId="12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Формы оповещения: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оповещение опубликовано в окружной газете «Звездный бульвар» № 12 (474), выход в свет 28.03.2016, на официальном сайте управы района Марфино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>marfino</w:t>
      </w:r>
      <w:r>
        <w:rPr>
          <w:rFonts w:ascii="Times New Roman" w:hAnsi="Times New Roman"/>
          <w:sz w:val="28"/>
          <w:highlight w:val="white"/>
        </w:rPr>
        <w:t>.mos.ru</w:t>
      </w:r>
      <w:r>
        <w:rPr>
          <w:rStyle w:val="Style_2_ch"/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</w:rPr>
        <w:t>, размещено на информационных стендах и досках н</w:t>
      </w:r>
      <w:r>
        <w:rPr>
          <w:rFonts w:ascii="Times New Roman" w:hAnsi="Times New Roman"/>
          <w:sz w:val="28"/>
        </w:rPr>
        <w:t xml:space="preserve">а подъездах жилых домов района,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направлено в Московскую городскую Думу и Совет депутатов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Марфино. </w:t>
      </w:r>
    </w:p>
    <w:p w14:paraId="13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Сведения о проведении экспозиции:</w:t>
      </w: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Экспозиция</w:t>
      </w:r>
      <w:r>
        <w:rPr>
          <w:rFonts w:ascii="Times New Roman" w:hAnsi="Times New Roman"/>
          <w:sz w:val="28"/>
        </w:rPr>
        <w:t xml:space="preserve"> проведена по адресу: ул. Большая Марфинская, д. 4 (управа района), с 4 апреля по 13 апреля 2016 года. Часы работы: понедельник – четверг: с 08:30 до 17:00, пятница - с 08:30 до 16:00 (9, 10 апреля – выходные дни). </w:t>
      </w:r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Экспозицию</w:t>
      </w:r>
      <w:r>
        <w:rPr>
          <w:rFonts w:ascii="Times New Roman" w:hAnsi="Times New Roman"/>
          <w:sz w:val="28"/>
        </w:rPr>
        <w:t xml:space="preserve"> посетило </w:t>
      </w:r>
      <w:r>
        <w:rPr>
          <w:rFonts w:ascii="Times New Roman" w:hAnsi="Times New Roman"/>
          <w:b w:val="1"/>
          <w:sz w:val="28"/>
          <w:u w:val="single"/>
        </w:rPr>
        <w:t>33 человека</w:t>
      </w:r>
      <w:r>
        <w:rPr>
          <w:rFonts w:ascii="Times New Roman" w:hAnsi="Times New Roman"/>
          <w:sz w:val="28"/>
        </w:rPr>
        <w:t xml:space="preserve">, количество записей в книге учета посетителей и записи предложений и замечаний оставили </w:t>
      </w:r>
      <w:r>
        <w:rPr>
          <w:rFonts w:ascii="Times New Roman" w:hAnsi="Times New Roman"/>
          <w:b w:val="1"/>
          <w:sz w:val="28"/>
          <w:u w:val="single"/>
        </w:rPr>
        <w:t>33 человека</w:t>
      </w:r>
      <w:r>
        <w:rPr>
          <w:rFonts w:ascii="Times New Roman" w:hAnsi="Times New Roman"/>
          <w:sz w:val="28"/>
        </w:rPr>
        <w:t>.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Сведения о проведении собрания участников публичных слушаний:</w:t>
      </w:r>
    </w:p>
    <w:p w14:paraId="1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Собрание участников публичных слушаний </w:t>
      </w:r>
      <w:r>
        <w:rPr>
          <w:rFonts w:ascii="Times New Roman" w:hAnsi="Times New Roman"/>
          <w:sz w:val="28"/>
        </w:rPr>
        <w:t>проведено 14 апреля 2016 года в 19:00 по адресу: ул. Большая Марфинская, д. 4, зал заседаний.</w:t>
      </w: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собрании приняло участие всего </w:t>
      </w:r>
      <w:r>
        <w:rPr>
          <w:rFonts w:ascii="Times New Roman" w:hAnsi="Times New Roman"/>
          <w:b w:val="1"/>
          <w:sz w:val="28"/>
          <w:u w:val="single"/>
        </w:rPr>
        <w:t>91</w:t>
      </w:r>
      <w:r>
        <w:rPr>
          <w:rFonts w:ascii="Times New Roman" w:hAnsi="Times New Roman"/>
          <w:b w:val="1"/>
          <w:sz w:val="28"/>
          <w:u w:val="single"/>
        </w:rPr>
        <w:t xml:space="preserve"> человек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из них зарегистрировались: жители – </w:t>
      </w:r>
      <w:r>
        <w:rPr>
          <w:rFonts w:ascii="Times New Roman" w:hAnsi="Times New Roman"/>
          <w:b w:val="1"/>
          <w:sz w:val="28"/>
          <w:u w:val="single"/>
        </w:rPr>
        <w:t>48 человек</w:t>
      </w:r>
      <w:r>
        <w:rPr>
          <w:rFonts w:ascii="Times New Roman" w:hAnsi="Times New Roman"/>
          <w:sz w:val="28"/>
        </w:rPr>
        <w:t xml:space="preserve">, работающие на предприятиях района – </w:t>
      </w:r>
      <w:r>
        <w:rPr>
          <w:rFonts w:ascii="Times New Roman" w:hAnsi="Times New Roman"/>
          <w:b w:val="1"/>
          <w:sz w:val="28"/>
          <w:u w:val="single"/>
        </w:rPr>
        <w:t>40 человек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sz w:val="28"/>
        </w:rPr>
        <w:t xml:space="preserve"> депутат Совета депутатов муниципального округа Марфино – </w:t>
      </w:r>
      <w:r>
        <w:rPr>
          <w:rFonts w:ascii="Times New Roman" w:hAnsi="Times New Roman"/>
          <w:b w:val="1"/>
          <w:sz w:val="28"/>
          <w:u w:val="single"/>
        </w:rPr>
        <w:t>1 человек</w:t>
      </w:r>
      <w:r>
        <w:rPr>
          <w:rFonts w:ascii="Times New Roman" w:hAnsi="Times New Roman"/>
          <w:sz w:val="28"/>
        </w:rPr>
        <w:t xml:space="preserve">, правообладатели земельных участков, объектов капитального строительства, жилых и нежилых помещений – </w:t>
      </w:r>
      <w:r>
        <w:rPr>
          <w:rFonts w:ascii="Times New Roman" w:hAnsi="Times New Roman"/>
          <w:b w:val="1"/>
          <w:sz w:val="28"/>
          <w:u w:val="single"/>
        </w:rPr>
        <w:t>2 человека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собрании присутствовали представители органов исполнительной власти – </w:t>
      </w:r>
      <w:r>
        <w:rPr>
          <w:rFonts w:ascii="Times New Roman" w:hAnsi="Times New Roman"/>
          <w:b w:val="1"/>
          <w:sz w:val="28"/>
          <w:u w:val="single"/>
        </w:rPr>
        <w:t>7 человек.</w:t>
      </w:r>
    </w:p>
    <w:p w14:paraId="1B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ходе собрания поступило </w:t>
      </w:r>
      <w:r>
        <w:rPr>
          <w:rFonts w:ascii="Times New Roman" w:hAnsi="Times New Roman"/>
          <w:b w:val="1"/>
          <w:sz w:val="28"/>
          <w:u w:val="single"/>
        </w:rPr>
        <w:t>44</w:t>
      </w:r>
      <w:r>
        <w:rPr>
          <w:rFonts w:ascii="Times New Roman" w:hAnsi="Times New Roman"/>
          <w:b w:val="1"/>
          <w:sz w:val="28"/>
        </w:rPr>
        <w:t xml:space="preserve"> предложени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 xml:space="preserve"> и замечани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>.</w:t>
      </w:r>
    </w:p>
    <w:p w14:paraId="1C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После проведения собрания поступило </w:t>
      </w:r>
      <w:r>
        <w:rPr>
          <w:rFonts w:ascii="Times New Roman" w:hAnsi="Times New Roman"/>
          <w:b w:val="1"/>
          <w:sz w:val="28"/>
          <w:u w:val="single"/>
        </w:rPr>
        <w:t>5</w:t>
      </w:r>
      <w:r>
        <w:rPr>
          <w:rFonts w:ascii="Times New Roman" w:hAnsi="Times New Roman"/>
          <w:b w:val="1"/>
          <w:sz w:val="28"/>
        </w:rPr>
        <w:t xml:space="preserve"> предложений и замечаний.</w:t>
      </w:r>
    </w:p>
    <w:p w14:paraId="1D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Сведения о протоколе публичных слушаний:</w:t>
      </w:r>
      <w:r>
        <w:rPr>
          <w:rFonts w:ascii="Times New Roman" w:hAnsi="Times New Roman"/>
          <w:color w:val="000000"/>
          <w:sz w:val="28"/>
        </w:rPr>
        <w:t xml:space="preserve"> протокол публичных слушаний </w:t>
      </w:r>
      <w:r>
        <w:rPr>
          <w:rFonts w:ascii="Times New Roman" w:hAnsi="Times New Roman"/>
          <w:sz w:val="28"/>
        </w:rPr>
        <w:t xml:space="preserve">по проекту планировки территории транспортно-пересадочного узла </w:t>
      </w:r>
      <w:r>
        <w:rPr>
          <w:rFonts w:ascii="Times New Roman" w:hAnsi="Times New Roman"/>
          <w:sz w:val="28"/>
        </w:rPr>
        <w:t xml:space="preserve">(ТПУ)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Владыкино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твержден председателем Комиссии </w:t>
      </w:r>
      <w:r>
        <w:rPr>
          <w:rFonts w:ascii="Times New Roman" w:hAnsi="Times New Roman"/>
          <w:color w:val="000000"/>
          <w:sz w:val="28"/>
        </w:rPr>
        <w:t xml:space="preserve">по вопросам градостроительства, землепользования и застройки при Правительстве Москвы в Северо-Восточном административном округе города Москвы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В.Ю. Виноградовым (протокол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25 апреля</w:t>
      </w:r>
      <w:r>
        <w:rPr>
          <w:rFonts w:ascii="Times New Roman" w:hAnsi="Times New Roman"/>
          <w:color w:val="000000"/>
          <w:sz w:val="28"/>
        </w:rPr>
        <w:t xml:space="preserve"> 2016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2/9</w:t>
      </w:r>
      <w:r>
        <w:rPr>
          <w:rFonts w:ascii="Times New Roman" w:hAnsi="Times New Roman"/>
          <w:color w:val="000000"/>
          <w:sz w:val="28"/>
        </w:rPr>
        <w:t>).</w:t>
      </w:r>
    </w:p>
    <w:p w14:paraId="1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44"/>
        <w:gridCol w:w="851"/>
        <w:gridCol w:w="4111"/>
      </w:tblGrid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Предложения и замечания участников публичных слуш</w:t>
            </w:r>
            <w:r>
              <w:rPr>
                <w:rFonts w:ascii="Times New Roman" w:hAnsi="Times New Roman"/>
                <w:b w:val="1"/>
                <w:sz w:val="26"/>
              </w:rPr>
              <w:t>а</w:t>
            </w:r>
            <w:r>
              <w:rPr>
                <w:rFonts w:ascii="Times New Roman" w:hAnsi="Times New Roman"/>
                <w:b w:val="1"/>
                <w:sz w:val="26"/>
              </w:rPr>
              <w:t>ний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Кол-во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Выводы Окружной коми</w:t>
            </w:r>
            <w:r>
              <w:rPr>
                <w:rFonts w:ascii="Times New Roman" w:hAnsi="Times New Roman"/>
                <w:b w:val="1"/>
                <w:sz w:val="26"/>
              </w:rPr>
              <w:t>с</w:t>
            </w:r>
            <w:r>
              <w:rPr>
                <w:rFonts w:ascii="Times New Roman" w:hAnsi="Times New Roman"/>
                <w:b w:val="1"/>
                <w:sz w:val="26"/>
              </w:rPr>
              <w:t>сии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Поддерживаю проект, замечаний нет. Одобряю строительство ТПУ Владыкино. Жду скорейшего начала реализации проекта. Предложений нет. Проект одобряю.</w:t>
            </w:r>
            <w:r>
              <w:rPr>
                <w:rFonts w:ascii="Times New Roman" w:hAnsi="Times New Roman"/>
                <w:sz w:val="26"/>
              </w:rPr>
              <w:t xml:space="preserve"> Проект поддерживаю. Проект полностью поддерживаю.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Принято к сведению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pStyle w:val="Style_4"/>
              <w:widowControl w:val="1"/>
              <w:numPr>
                <w:ilvl w:val="0"/>
                <w:numId w:val="1"/>
              </w:numPr>
              <w:ind w:firstLine="0" w:left="0"/>
              <w:jc w:val="both"/>
              <w:rPr>
                <w:sz w:val="26"/>
              </w:rPr>
            </w:pPr>
            <w:r>
              <w:rPr>
                <w:sz w:val="26"/>
              </w:rPr>
              <w:t>А где вы хотите установить депо?</w:t>
            </w:r>
          </w:p>
          <w:p w14:paraId="26000000">
            <w:pPr>
              <w:pStyle w:val="Style_4"/>
              <w:widowControl w:val="1"/>
              <w:numPr>
                <w:ilvl w:val="0"/>
                <w:numId w:val="1"/>
              </w:numPr>
              <w:ind w:firstLine="0" w:left="0"/>
              <w:jc w:val="both"/>
              <w:rPr>
                <w:sz w:val="26"/>
              </w:rPr>
            </w:pPr>
            <w:r>
              <w:rPr>
                <w:sz w:val="26"/>
              </w:rPr>
              <w:t>Какие ближайшие станции?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 П</w:t>
            </w:r>
            <w:r>
              <w:rPr>
                <w:rFonts w:ascii="Times New Roman" w:hAnsi="Times New Roman"/>
                <w:color w:val="000000"/>
                <w:sz w:val="26"/>
              </w:rPr>
              <w:t>одвижно</w:t>
            </w:r>
            <w:r>
              <w:rPr>
                <w:rFonts w:ascii="Times New Roman" w:hAnsi="Times New Roman"/>
                <w:color w:val="000000"/>
                <w:sz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состав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будет размещаться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 территории </w:t>
            </w:r>
            <w:r>
              <w:rPr>
                <w:rFonts w:ascii="Times New Roman" w:hAnsi="Times New Roman"/>
                <w:color w:val="000000"/>
                <w:sz w:val="26"/>
              </w:rPr>
              <w:t>депо «Подмосковная». 2. Ближайши</w:t>
            </w:r>
            <w:r>
              <w:rPr>
                <w:rFonts w:ascii="Times New Roman" w:hAnsi="Times New Roman"/>
                <w:color w:val="000000"/>
                <w:sz w:val="26"/>
              </w:rPr>
              <w:t>ми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станци</w:t>
            </w:r>
            <w:r>
              <w:rPr>
                <w:rFonts w:ascii="Times New Roman" w:hAnsi="Times New Roman"/>
                <w:color w:val="000000"/>
                <w:sz w:val="26"/>
              </w:rPr>
              <w:t>ями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МКЖД </w:t>
            </w:r>
            <w:r>
              <w:rPr>
                <w:rFonts w:ascii="Times New Roman" w:hAnsi="Times New Roman"/>
                <w:color w:val="000000"/>
                <w:sz w:val="26"/>
              </w:rPr>
              <w:t>являются ТПУ «Николаевская» и «Ботанический сад»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 сколько по времени будет занимать весь круг, проехав все кольцо?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Полный круг по МКЖД займёт порядка 90 минут.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Будет ли компенсация как стояночное место для автомобиля, взамен снесенному гаражу ПАК Владыкино по адресу: Проектируемый проезд 22/19.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Компенсаци</w:t>
            </w:r>
            <w:r>
              <w:rPr>
                <w:rFonts w:ascii="Times New Roman" w:hAnsi="Times New Roman"/>
                <w:color w:val="000000"/>
                <w:sz w:val="26"/>
              </w:rPr>
              <w:t>й в виде стояночных мест не предусмотрено.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Будет ли маршрут ж/д связан с </w:t>
            </w:r>
            <w:r>
              <w:rPr>
                <w:rFonts w:ascii="Times New Roman" w:hAnsi="Times New Roman"/>
                <w:sz w:val="26"/>
              </w:rPr>
              <w:t>Савёловской</w:t>
            </w:r>
            <w:r>
              <w:rPr>
                <w:rFonts w:ascii="Times New Roman" w:hAnsi="Times New Roman"/>
                <w:sz w:val="26"/>
              </w:rPr>
              <w:t xml:space="preserve"> железной дорогой?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Пересадку с МКЖД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6"/>
              </w:rPr>
              <w:t>Савёловскую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железную дорогу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возможно будет </w:t>
            </w:r>
            <w:r>
              <w:rPr>
                <w:rFonts w:ascii="Times New Roman" w:hAnsi="Times New Roman"/>
                <w:color w:val="000000"/>
                <w:sz w:val="26"/>
              </w:rPr>
              <w:t>осуществить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 ТПУ «Окружная».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Будет ли</w:t>
            </w:r>
            <w:r>
              <w:rPr>
                <w:rFonts w:ascii="Times New Roman" w:hAnsi="Times New Roman"/>
                <w:sz w:val="26"/>
              </w:rPr>
              <w:t xml:space="preserve"> связано ТПУ с Савё</w:t>
            </w:r>
            <w:r>
              <w:rPr>
                <w:rFonts w:ascii="Times New Roman" w:hAnsi="Times New Roman"/>
                <w:sz w:val="26"/>
              </w:rPr>
              <w:t>ловской ж/д? Будет ли изменено расписание, какой год?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Пересадку с МКЖД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 Савё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ловскую железную дорогу возможно будет </w:t>
            </w:r>
            <w:r>
              <w:rPr>
                <w:rFonts w:ascii="Times New Roman" w:hAnsi="Times New Roman"/>
                <w:color w:val="000000"/>
                <w:sz w:val="26"/>
              </w:rPr>
              <w:t>осуществить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 ТПУ «Окружная».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14:paraId="3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связи с тем, что железнодорожные линии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МКЖД и Савёловской железной дороги не имею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т пересечений в одной плоскости,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кардинальных изменений </w:t>
            </w:r>
            <w:r>
              <w:rPr>
                <w:rFonts w:ascii="Times New Roman" w:hAnsi="Times New Roman"/>
                <w:color w:val="000000"/>
                <w:sz w:val="26"/>
              </w:rPr>
              <w:t>в расписание вносить не требуется.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Будут ли высаживаться деревья, взрослые?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Высадка деревьев будет осуществляться в соответствии с 743-ПП «Правила создания, содержания и охраны </w:t>
            </w:r>
            <w:r>
              <w:rPr>
                <w:rFonts w:ascii="Times New Roman" w:hAnsi="Times New Roman"/>
                <w:color w:val="000000"/>
                <w:sz w:val="26"/>
              </w:rPr>
              <w:t>зелёных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насаждений города Москвы»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Будут ли предусмотрены лифты для перемещения детских колясок?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Лифты</w:t>
            </w:r>
            <w:r>
              <w:rPr>
                <w:rFonts w:ascii="Times New Roman" w:hAnsi="Times New Roman"/>
                <w:color w:val="000000"/>
                <w:sz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предусмотренные </w:t>
            </w:r>
            <w:r>
              <w:rPr>
                <w:rFonts w:ascii="Times New Roman" w:hAnsi="Times New Roman"/>
                <w:color w:val="000000"/>
                <w:sz w:val="26"/>
              </w:rPr>
              <w:t>в технологической связи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транспортно-пересадочного узла,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рассчитаны для удобства маломобильных групп населения, к которым относятся и </w:t>
            </w:r>
            <w:r>
              <w:rPr>
                <w:rFonts w:ascii="Times New Roman" w:hAnsi="Times New Roman"/>
                <w:color w:val="000000"/>
                <w:sz w:val="26"/>
              </w:rPr>
              <w:t>граждане с детскими колясками.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Будут ли установлены шумозащитные экраны? Если да, то в какие сроки, до ввода в эксплуатацию?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Установка шумозащитных экранов будет реализована к запуску пассажирского движения на МКЖД.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Вместо торговых центров, которых и так очень много, даже более чем достаточно, постройте рядом с ТПУ спортивно-оздоровительный комплекс с бассейном, или дом творчества для детей, или спортивную школу. Катастрофически не хватает культурных и спортивных учреждений. В безобразном состоянии находится переход из Марфино в Бутырский район на ул. Милашенково, необходимо сделать его безопасным и освещенным. Сверху капает от проходящих поездов, в дневное время не освещается, ямы, рытвины, мусор, а люди идут нескончаемым потоком. Когда приведете в порядок ул. Академика Комарова? По этой улице в некоторых местах отсутствуют тротуары, и приходится ходить по проезжей части, что небезопасно.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Ул. Милашенкова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Академика Комарова </w:t>
            </w:r>
            <w:r>
              <w:rPr>
                <w:rFonts w:ascii="Times New Roman" w:hAnsi="Times New Roman"/>
                <w:color w:val="000000"/>
                <w:sz w:val="26"/>
              </w:rPr>
              <w:t>не входя</w:t>
            </w:r>
            <w:r>
              <w:rPr>
                <w:rFonts w:ascii="Times New Roman" w:hAnsi="Times New Roman"/>
                <w:color w:val="000000"/>
                <w:sz w:val="26"/>
              </w:rPr>
              <w:t>т в границы рассмотрения ППТ ТПУ Владыкино.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Вопрос и просьба, ул. Станционная, д. 6, просьба привести территорию в надлежащее санитарное состояние. Просим восстановить забор, чтобы забор был глухим.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Рекомендовать разработчику учесть замечание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pStyle w:val="Style_4"/>
              <w:widowControl w:val="1"/>
              <w:numPr>
                <w:ilvl w:val="0"/>
                <w:numId w:val="2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Вопрос касается имущества, которое принадлежит граждан, попадает в зону строительства, гаражный комплекс. Который находится рядом с метро Владыкино в районе Марфино, планируется сносить или не сносить, выкупать ГСК «Придорожный», какой механизм.</w:t>
            </w:r>
          </w:p>
          <w:p w14:paraId="46000000">
            <w:pPr>
              <w:pStyle w:val="Style_4"/>
              <w:widowControl w:val="1"/>
              <w:numPr>
                <w:ilvl w:val="0"/>
                <w:numId w:val="2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Переход по наземному мосту сделать бесплатным, так как на данный момент приходится покупать билет на метро, чтобы попасть с одной стороны на другую.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themeColor="text2" w:val="1F497D"/>
                <w:sz w:val="26"/>
                <w:shd w:fill="4BF357" w:val="clear"/>
              </w:rPr>
              <w:t xml:space="preserve">1. Снос </w:t>
            </w:r>
            <w:r>
              <w:rPr>
                <w:rFonts w:ascii="Times New Roman" w:hAnsi="Times New Roman"/>
                <w:color w:themeColor="text2" w:val="1F497D"/>
                <w:sz w:val="26"/>
                <w:shd w:fill="4BF357" w:val="clear"/>
              </w:rPr>
              <w:t>ГСК «</w:t>
            </w:r>
            <w:r>
              <w:rPr>
                <w:rFonts w:ascii="Times New Roman" w:hAnsi="Times New Roman"/>
                <w:color w:val="000000"/>
                <w:sz w:val="26"/>
                <w:shd w:fill="4BF357" w:val="clear"/>
              </w:rPr>
              <w:t>Придорожный</w:t>
            </w:r>
            <w:r>
              <w:rPr>
                <w:rFonts w:ascii="Times New Roman" w:hAnsi="Times New Roman"/>
                <w:color w:val="000000"/>
                <w:sz w:val="26"/>
              </w:rPr>
              <w:t>»</w:t>
            </w:r>
            <w:r>
              <w:rPr>
                <w:rFonts w:ascii="Times New Roman" w:hAnsi="Times New Roman"/>
                <w:color w:val="000000"/>
                <w:sz w:val="26"/>
                <w:shd w:fill="4BF357" w:val="clear"/>
              </w:rPr>
              <w:t xml:space="preserve"> не преду</w:t>
            </w:r>
            <w:r>
              <w:rPr>
                <w:rFonts w:ascii="Times New Roman" w:hAnsi="Times New Roman"/>
                <w:color w:val="000000"/>
                <w:sz w:val="26"/>
                <w:shd w:fill="4BF357" w:val="clear"/>
              </w:rPr>
              <w:t>смотрен.</w:t>
            </w:r>
          </w:p>
          <w:p w14:paraId="4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6"/>
              </w:rPr>
              <w:t>Оплата за п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роход по технологической связи ТПУ «Владыкино» </w:t>
            </w:r>
            <w:r>
              <w:rPr>
                <w:rFonts w:ascii="Times New Roman" w:hAnsi="Times New Roman"/>
                <w:color w:val="000000"/>
                <w:sz w:val="26"/>
              </w:rPr>
              <w:t>взыматься не будет.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pStyle w:val="Style_4"/>
              <w:widowControl w:val="1"/>
              <w:numPr>
                <w:ilvl w:val="0"/>
                <w:numId w:val="3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Вопрос по Сусоколовскому шоссе, от южного метро Владыкино в сторону Москвы… очень большое…..  возможно ли поднять вопрос в рамках благоустройства территории общего пользования предусмотреть работы по устройству ливневой канализации.</w:t>
            </w:r>
          </w:p>
          <w:p w14:paraId="4B000000">
            <w:pPr>
              <w:pStyle w:val="Style_4"/>
              <w:widowControl w:val="1"/>
              <w:numPr>
                <w:ilvl w:val="0"/>
                <w:numId w:val="3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По срокам, когда планируется возвести переход?</w:t>
            </w:r>
          </w:p>
          <w:p w14:paraId="4C000000">
            <w:pPr>
              <w:pStyle w:val="Style_4"/>
              <w:widowControl w:val="1"/>
              <w:numPr>
                <w:ilvl w:val="0"/>
                <w:numId w:val="3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После того как будет рассмотрен вопрос благоустройства территории, предусмотрено ли обустройство велодорожек. Будут ли они?</w:t>
            </w:r>
          </w:p>
          <w:p w14:paraId="4D000000">
            <w:pPr>
              <w:pStyle w:val="Style_4"/>
              <w:widowControl w:val="1"/>
              <w:numPr>
                <w:ilvl w:val="0"/>
                <w:numId w:val="3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Фасад планируется серым, возможно ли рассмотреть другие цвета, чтобы район всегда светил?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</w:rPr>
              <w:t>Заказчику рассмотреть возможность учета предложения.</w:t>
            </w:r>
          </w:p>
          <w:p w14:paraId="5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 Первая очередь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строительства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технологической связи </w:t>
            </w:r>
            <w:r>
              <w:rPr>
                <w:rFonts w:ascii="Times New Roman" w:hAnsi="Times New Roman"/>
                <w:color w:val="000000"/>
                <w:sz w:val="26"/>
              </w:rPr>
              <w:t>ТПУ «Владыкино» будет реализована к запуску пассажирского движения в сентябре 2016 года.</w:t>
            </w:r>
          </w:p>
          <w:p w14:paraId="5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6"/>
              </w:rPr>
              <w:t>Заказчику рассмотреть возможность учета предложения на стадии разработки проектной документации.</w:t>
            </w:r>
          </w:p>
          <w:p w14:paraId="5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6"/>
              </w:rPr>
              <w:t>Выбор цвета фасада осуществляется в рамках действующих норм по согласованию с Комитетом по архитектуре и градостроительству в городе Москве.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 работники и я в частности, за то, чтобы проект был завершен (транспортно-пересадочный узел «Владыкино» малого кольца МКЖД). Это упростит жизнь не только работникам, но и жителям данного района, а также их гостям.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 сказали, что будут установлены шумозащитные экраны. Нам сейчас железная дорога поставила прозрачные ограждения…, а не экраны. Проект будет затрагивать нашу железную дорогу…..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Установка шумозащитных экранов предусмотрена проектом «Реконструкция и развитие Малого кольца Московской железной дороги. Организация пассажирского движения» заказчик ДКРС-Москва ОАО «РЖД».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 сказали, что парковок не будет. Станция метро используется как перехватывающая парковка, если вы ее закроете. Люди приезжают к метро, мест свободных почти нет. Как вы решаете эту проблему. Это парковка всегда занята.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Заказчику рассмотреть возможность учета предложения.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ГСК «Придорожный» у нас стена выходит на ж/д полотно, можем ли мы рассчитывать на МКЖД на финансирование, покрасить стену.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бюджете АО «МКЖД» средств на реализаци</w:t>
            </w:r>
            <w:r>
              <w:rPr>
                <w:rFonts w:ascii="Times New Roman" w:hAnsi="Times New Roman"/>
                <w:color w:val="000000"/>
                <w:sz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этого мероприятия не предусмотрено.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Дома будут трястись (вибрация). А дома вообще сноситься будут?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В рамках ППТ ТПУ «Владыкино»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снос жилых домов </w:t>
            </w:r>
            <w:r>
              <w:rPr>
                <w:rFonts w:ascii="Times New Roman" w:hAnsi="Times New Roman"/>
                <w:color w:val="000000"/>
                <w:sz w:val="26"/>
              </w:rPr>
              <w:t>не предусмотрен.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Как вы будете отапливать переходы. У нас в доме 10 А очень плохо с отоплением. Какие теплосети затрагиваете?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Обслуживание технологических объектов ТПУ «Владыкино» будет осуществляться по согласованию с городскими структурами.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Какие предусмотрены антитерроистические меры после ввода в эксплуатацию ТПУ?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Объекты транспортной инфраструктуры имеют первую группу безопасности. </w:t>
            </w:r>
            <w:r>
              <w:rPr>
                <w:rFonts w:ascii="Times New Roman" w:hAnsi="Times New Roman"/>
                <w:color w:val="000000"/>
                <w:sz w:val="26"/>
              </w:rPr>
              <w:t>Все меры безопасности будут выполнены в соответствии с действующими нормами.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Кто участвовал в разработке проекта? Использовался ли зарубежный опыт?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Разработку ППТ ТПУ «Владыкино» </w:t>
            </w:r>
            <w:r>
              <w:rPr>
                <w:rFonts w:ascii="Times New Roman" w:hAnsi="Times New Roman"/>
                <w:color w:val="000000"/>
                <w:sz w:val="26"/>
              </w:rPr>
              <w:t>осуществлял ГУП «НИ и ПИ Генплана Москвы» по заказу АО «МКЖД»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в соответствии с законодательством Российской Федерации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.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Кто является разработчиком проекта? Как учитывалось строительство ТПУ со строительством Северо-Восточной и Северо-Западной хорды?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Разработку ППТ ТПУ «Владыкино» осуществлял ГУП «НИ и ПИ Генплана Москвы» по заказу АО «МКЖД».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Проектные решения ППТ ТПУ «Владыкино» учитывают строительство </w:t>
            </w:r>
            <w:r>
              <w:rPr>
                <w:rFonts w:ascii="Times New Roman" w:hAnsi="Times New Roman"/>
                <w:sz w:val="26"/>
              </w:rPr>
              <w:t>Северо-Восточной и Северо-Западной хорды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0"/>
              <w:ind w:firstLine="720" w:right="200"/>
              <w:jc w:val="both"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 xml:space="preserve">Мы, </w:t>
            </w:r>
            <w:r>
              <w:rPr>
                <w:rFonts w:ascii="Times New Roman" w:hAnsi="Times New Roman"/>
                <w:spacing w:val="-3"/>
                <w:sz w:val="26"/>
              </w:rPr>
              <w:t>члены инициативной группы собственников помещений домовладений по границе владения 4 Станционной улицы сложившейся жилой застройки микрорайона  территории муницип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ального округа Марфино, на основании наших ранее возникших прав на неделимые объекты недвижимости повторно сообщаем Вам, что мы против изготовленного документа «Проект планировки территорий, прилегающих к МК МЖД (транспортно-пересадочных узлов МК МЖД)», транспортно-пересадочный узел «Владыкино» представленного на публичные слушания по адресу: ул. Большая Марфинская, д. 4 и последующих на его основании </w:t>
            </w:r>
            <w:r>
              <w:rPr>
                <w:rFonts w:ascii="Times New Roman" w:hAnsi="Times New Roman"/>
                <w:sz w:val="26"/>
              </w:rPr>
              <w:t xml:space="preserve">градообразующих мероприятий, 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которые изменят площадь и границы земельных участков наших домовладений, в составе учтенных имущественных комплексов.</w:t>
            </w:r>
          </w:p>
          <w:p w14:paraId="6F000000">
            <w:pPr>
              <w:widowControl w:val="0"/>
              <w:ind w:firstLine="720" w:right="200"/>
              <w:jc w:val="both"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 xml:space="preserve">На основании Градостроительного кодекса РФ и Москвы просим Вас обратиться 21.04.2016г. в окружную комиссию по градостроительству, землепользованию и застройке при Правительстве Москвы с просьбой приобщить к протоколу данных публичных слушаний и рассмотреть на заседании комиссии Протокол публичных слушаний № 2/6  от 23 мая </w:t>
            </w:r>
            <w:r>
              <w:rPr>
                <w:rFonts w:ascii="Times New Roman" w:hAnsi="Times New Roman"/>
                <w:spacing w:val="-3"/>
                <w:sz w:val="26"/>
              </w:rPr>
              <w:t>2014 г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. и Заключение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 по результатам публичных слушаний от 11 июня </w:t>
            </w:r>
            <w:r>
              <w:rPr>
                <w:rFonts w:ascii="Times New Roman" w:hAnsi="Times New Roman"/>
                <w:spacing w:val="-3"/>
                <w:sz w:val="26"/>
              </w:rPr>
              <w:t>2014 г</w:t>
            </w:r>
            <w:r>
              <w:rPr>
                <w:rFonts w:ascii="Times New Roman" w:hAnsi="Times New Roman"/>
                <w:spacing w:val="-3"/>
                <w:sz w:val="26"/>
              </w:rPr>
              <w:t>. (Приложение №1), а так же все 265 листов возражений о нарушенных наших правах владения имущественными комплексами аналогично данным публичным  слушаниям (Приложение №2), поданными сопроводительными письмами 20 мая 2014г. (Приложение №3) в городскую и окружную комиссии по градостроительству, землепользованию и застройки при Правите</w:t>
            </w:r>
            <w:r>
              <w:rPr>
                <w:rFonts w:ascii="Times New Roman" w:hAnsi="Times New Roman"/>
                <w:spacing w:val="-3"/>
                <w:sz w:val="26"/>
              </w:rPr>
              <w:t>льстве Москвы (видео-протокол -</w:t>
            </w:r>
            <w:r>
              <w:rPr>
                <w:rFonts w:ascii="Times New Roman" w:hAnsi="Times New Roman"/>
                <w:spacing w:val="-3"/>
                <w:sz w:val="26"/>
              </w:rPr>
              <w:t>https://youtu.be/JffgXnf1zVM</w:t>
            </w:r>
            <w:r>
              <w:rPr>
                <w:rFonts w:ascii="Times New Roman" w:hAnsi="Times New Roman"/>
                <w:spacing w:val="-3"/>
                <w:sz w:val="26"/>
              </w:rPr>
              <w:t>)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, о чем имеются отметки.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Напоминаем, согласно закона РФ, обязанности органов местного самоуправления и органов власти, обеспечивать благоприятные и безопасные условия проживания граждан, а также соблюдать нормы для жизни и здоровья граждан в РФ.</w:t>
            </w:r>
          </w:p>
          <w:p w14:paraId="70000000">
            <w:pPr>
              <w:widowControl w:val="0"/>
              <w:ind w:right="198"/>
              <w:jc w:val="both"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>Приложение № 1 – http://marfino.mos.ru/presscenter/news/detail/1110143.html</w:t>
            </w:r>
          </w:p>
          <w:p w14:paraId="71000000">
            <w:pPr>
              <w:widowControl w:val="0"/>
              <w:ind w:left="23" w:right="198"/>
              <w:jc w:val="both"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 xml:space="preserve">Приложение № 2 – </w:t>
            </w:r>
            <w:r>
              <w:rPr>
                <w:rFonts w:ascii="Times New Roman" w:hAnsi="Times New Roman"/>
                <w:spacing w:val="-3"/>
                <w:sz w:val="26"/>
              </w:rPr>
              <w:t>http://marfino.mos.ru/upload/medialibrary/74d/polozhenie-o-proetkte-planirovki-territorii-tpu-vladykino.pdf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(стр.31)</w:t>
            </w:r>
          </w:p>
          <w:p w14:paraId="72000000">
            <w:pPr>
              <w:widowControl w:val="0"/>
              <w:ind w:left="23" w:right="19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>Приложение № 3 – http://socgrad.ru/org/za_razvitie_marfino/blog/6194.html#comment14374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  <w:p w14:paraId="7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7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ППТ ТПУ Владыкино не затрагивает территорий жилых домов. </w:t>
            </w:r>
          </w:p>
          <w:p w14:paraId="8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8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</w:t>
            </w:r>
          </w:p>
          <w:p w14:paraId="9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9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4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B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E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Окружную комиссию приложений на бумажном носителе не поступало.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сколько будут разгружены дороги при вводе ТПУ? Проводились ли расчеты?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Данные расчеты проводятся при разработке ППТ линейных объектов улично-дорожной сети.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Наземный транспорт как будет организован? На сайте видно, что площадка автобусная переносится к Ботаническому саду. Как увеличиться поток пассажиров от метро. Будет ли дополнительный наземный транспорт, в связи с ТПУ. Прошу внести в протокол и дать письменный ответ, Быстрова Наталья Васильевна, Ботаническая, д. 37 А, кв. </w:t>
            </w:r>
            <w:r>
              <w:rPr>
                <w:rFonts w:ascii="Times New Roman" w:hAnsi="Times New Roman"/>
                <w:sz w:val="26"/>
              </w:rPr>
              <w:t>***</w:t>
            </w:r>
            <w:r>
              <w:rPr>
                <w:rFonts w:ascii="Times New Roman" w:hAnsi="Times New Roman"/>
                <w:sz w:val="26"/>
              </w:rPr>
              <w:t>. Разработка проекта как проходил, в то время как при межевании территории 50 мкр. по моему в 2014 году проект был отклонен, как вы решили эту проблему? Где разворотная площадка для транспорта.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Заказчику рассмотреть предложение. </w:t>
            </w:r>
          </w:p>
          <w:p w14:paraId="B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B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Размещение отстойно-разворотной площадки предусмотрено ППТ ТПУ «Владыкино» </w:t>
            </w:r>
            <w:r>
              <w:rPr>
                <w:rFonts w:ascii="Times New Roman" w:hAnsi="Times New Roman"/>
                <w:color w:val="000000"/>
                <w:sz w:val="26"/>
              </w:rPr>
              <w:t>в районе действующей, правее Сусоколовского шоссе.</w:t>
            </w:r>
          </w:p>
          <w:p w14:paraId="B8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B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Даны разъяснения в ходе собрания. </w:t>
            </w:r>
          </w:p>
          <w:p w14:paraId="B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  <w:highlight w:val="cyan"/>
              </w:rPr>
            </w:pPr>
            <w:r>
              <w:rPr>
                <w:rFonts w:ascii="Times New Roman" w:hAnsi="Times New Roman"/>
                <w:sz w:val="26"/>
              </w:rPr>
              <w:t>Останится ли дорога соединяющая Сусоколовское шоссе с Сигнальным проездом? Это будет дорога?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jc w:val="center"/>
              <w:rPr>
                <w:b w:val="1"/>
                <w:sz w:val="26"/>
                <w:highlight w:val="cyan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1"/>
              <w:ind/>
              <w:jc w:val="both"/>
              <w:rPr>
                <w:rFonts w:ascii="Times New Roman" w:hAnsi="Times New Roman"/>
                <w:color w:val="FF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Мост через Сусоколовское шоссе будет построен в рамках реализации строительства Северо-Западной хорды.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ПАК Владыкино снесенный? Что будет за снесенные гаражи?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Данные гаражи сносились вне рамок реализации ППТ ТПУ «Владыкино»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Пересадка на ТПУ, при пересадке в метро как будет осуществляться оплата? Дополнительная оплата?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 МКЖД будет действовать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билетная программа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</w:rPr>
              <w:t>90 минут</w:t>
            </w:r>
            <w:r>
              <w:rPr>
                <w:rFonts w:ascii="Times New Roman" w:hAnsi="Times New Roman"/>
                <w:color w:val="000000"/>
                <w:sz w:val="26"/>
              </w:rPr>
              <w:t>»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в рамках которой дополнительная оплата при пересадке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не требуется.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Перехватывающая парковка для жителей будет бесплатная?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Перехватывающая парковка в ППТ ТПУ «Владыкино» не предусмотрена.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Планируется ли озеленение и благоустройство прилегающей территории?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Благоустройство прилегающей территории предусмотрено к </w:t>
            </w:r>
            <w:r>
              <w:rPr>
                <w:rFonts w:ascii="Times New Roman" w:hAnsi="Times New Roman"/>
                <w:color w:val="000000"/>
                <w:sz w:val="26"/>
              </w:rPr>
              <w:t>запуску пассажирского движения МКЖД.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Побыстрее завершить проект, это позволит удобный и быстрый доступ сотрудников к рабочему месту.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Почему строительство </w:t>
            </w:r>
            <w:r>
              <w:rPr>
                <w:rFonts w:ascii="Times New Roman" w:hAnsi="Times New Roman"/>
                <w:sz w:val="26"/>
              </w:rPr>
              <w:t>ведётся</w:t>
            </w:r>
            <w:r>
              <w:rPr>
                <w:rFonts w:ascii="Times New Roman" w:hAnsi="Times New Roman"/>
                <w:sz w:val="26"/>
              </w:rPr>
              <w:t xml:space="preserve"> давно, а собрание будет проходить 14 апреля?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Строительство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в полосе отвода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регламентируется федеральным законодательством</w:t>
            </w:r>
            <w:r>
              <w:rPr>
                <w:rFonts w:ascii="Times New Roman" w:hAnsi="Times New Roman"/>
                <w:color w:val="000000"/>
                <w:sz w:val="26"/>
              </w:rPr>
              <w:t>. Прохождение публичных слушаний для строительства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не требуется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 благоустройстве района и высадке деревьев, просьба выделить и озеленить ул. Академика Комарова. Равномерно заасфальтировать тротуары, так как они в заплатках. Установить лежачие полицейские во дворе между школой и д. 6 ул. академика комарова. После установки светофора на перекрестке двор используется автомобилистами как сквозной для проезда. Рядом находится школа, детская площадка, школьный стадион, сквозной проезд опасен детей и жителей.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Данная территория не входит в границы рассмотрения ППТ ТПУ «Владыкино».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pStyle w:val="Style_4"/>
              <w:widowControl w:val="1"/>
              <w:numPr>
                <w:ilvl w:val="0"/>
                <w:numId w:val="4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Проект одобряю. Просьба предусмотреть удобные крытые современные остановочные павильоны для комфорта людей, ожидающих наземный пассажирский транспорт, а также предусмотреть небольшие торговые павильоны в районе ТПУ.</w:t>
            </w:r>
          </w:p>
          <w:p w14:paraId="D4000000">
            <w:pPr>
              <w:pStyle w:val="Style_4"/>
              <w:widowControl w:val="1"/>
              <w:numPr>
                <w:ilvl w:val="0"/>
                <w:numId w:val="4"/>
              </w:numPr>
              <w:ind w:firstLine="218" w:left="142"/>
              <w:jc w:val="both"/>
              <w:rPr>
                <w:sz w:val="26"/>
              </w:rPr>
            </w:pPr>
            <w:r>
              <w:rPr>
                <w:sz w:val="26"/>
              </w:rPr>
              <w:t>Шумозащитные экраны где конкретно будут установлены и какая их высота?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</w:rPr>
              <w:t>Заказчику рассмотреть возможность учета предложения.</w:t>
            </w:r>
          </w:p>
          <w:p w14:paraId="D7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 Установка и высота шумозащитных экранов предусмотрена проектом «Реконструкция и развитие Малого кольца Московской железной дороги. Организация пассажирского движения» заказчик ДКРС-Москва ОАО «РЖД».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Проект поддерживаю. Как будет обеспечена безопасность, видеонаблюдение?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Безопасность и видеонаблюдение на объектах ТПУ МКЖД будет осуществлена в соответствии с действующими нормами.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Просим организовать стоянку на прежнем месте ПАК «Владыкино» по адресу: Проектируемый проезд 2219.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2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Заказчику рассмотреть возможность учета предложения. 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Прошу провести прилегающую территорию по адресу: ул. Станционная, д. 6, в надлежащее санитарное состояние. Восстановить забор вокруг здания и сделать его глухим.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Принять к сведению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Прошу провести шумозащитные мероприятия в отношении жителей, проживающих в домах 16 и 16 А по Ботанической улице.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Сколько будет стоить проезд?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Проезд на МКЖД будет сопоставим с проездом на действующем городском транспорте.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Снесли гаражи около метро Владыкино – будет какая-нибудь альтернатива?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Компенсация за гаражи в виде машиноместа не предусмотрен</w:t>
            </w:r>
            <w:r>
              <w:rPr>
                <w:rFonts w:ascii="Times New Roman" w:hAnsi="Times New Roman"/>
                <w:color w:val="000000"/>
                <w:sz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Снесли ПАК Владыкино. Предоставят ли стояночные места, как компенсацию за снесенный ПАК Владыкино.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Компенсация за гаражи в виде машиноместа не предусмотре</w:t>
            </w:r>
            <w:r>
              <w:rPr>
                <w:rFonts w:ascii="Times New Roman" w:hAnsi="Times New Roman"/>
                <w:color w:val="000000"/>
                <w:sz w:val="26"/>
              </w:rPr>
              <w:t>на</w:t>
            </w:r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Соседние остановки МКЖД …… и Окружная, предусмотрены ли стоянки, будут ли они бесплатными?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Оплата на перехватывающих паркингах ТПУ МКЖД будет осуществляться, по принципу паркинга возле станций Московского метрополитена.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  <w:shd w:fill="4BF357" w:val="clear"/>
              </w:rPr>
            </w:pPr>
            <w:r>
              <w:rPr>
                <w:rFonts w:ascii="Times New Roman" w:hAnsi="Times New Roman"/>
                <w:sz w:val="26"/>
                <w:shd w:fill="4BF357" w:val="clear"/>
              </w:rPr>
              <w:t xml:space="preserve">Сохранить существование ГСК «Придорожный» с обеспечением безопасного выезда </w:t>
            </w:r>
            <w:r>
              <w:rPr>
                <w:rFonts w:ascii="Times New Roman" w:hAnsi="Times New Roman"/>
                <w:sz w:val="26"/>
                <w:shd w:fill="4BF357" w:val="clear"/>
              </w:rPr>
              <w:t>на</w:t>
            </w:r>
            <w:r>
              <w:rPr>
                <w:rFonts w:ascii="Times New Roman" w:hAnsi="Times New Roman"/>
                <w:sz w:val="26"/>
                <w:shd w:fill="4BF357" w:val="clear"/>
              </w:rPr>
              <w:t xml:space="preserve"> ул. Станционная из боксов имеющих выезд на ул. Станционная.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  <w:shd w:fill="4BF357" w:val="clear"/>
              </w:rPr>
            </w:pPr>
            <w:r>
              <w:rPr>
                <w:rFonts w:ascii="Times New Roman" w:hAnsi="Times New Roman"/>
                <w:color w:val="000000"/>
                <w:sz w:val="26"/>
                <w:shd w:fill="4BF357" w:val="clear"/>
              </w:rPr>
              <w:t>В рамках ППТ ТПУ «Владыкино» ГСК «Придорожный» сохраняется.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ТПУ в основном хорошо продуман, так как рядом находится Ботанический сад, Останкинский парк хочется, чтобы от метро и ж/д станции вдоль ж/д были предусмотрены велодорожки, для отдыхающих. Предлагаю вдоль ж/д сделать отдельную дорогу для велосипедистов, чтобы желающие могли попасть из разных районов Москвы в Ботанический сад и Останкинский парк. Вдоль районов 51-52 Марфино прокладывают 4-х полосную дорогу для автотранспорта. А где будут люди ездить на велосипедах и просто гулять? Ведь велоспорту уделяется большое внимание в Москве, и это движение будет с каждым городом увеличиваться. Почти в каждой семье есть хотя бы один велосипед. В нашем районе велодорожек нет. Предусмотрите, пожалуйста. Отдельного вопроса и замечания заслуживают переходы через ж/д дорогу на улицу Милашенкова. Пора сделать наш город комфортным для проживания. ТПУ привлечет большое количество людей. Очень хочется, чтобы рядом с ТПУ кроме магазинов были спортивно-оздоровительные, культурные и развлекательные учреждения.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сведению.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Вопрос создания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велодорожек будет </w:t>
            </w:r>
            <w:r>
              <w:rPr>
                <w:rFonts w:ascii="Times New Roman" w:hAnsi="Times New Roman"/>
                <w:color w:val="000000"/>
                <w:sz w:val="26"/>
              </w:rPr>
              <w:t>рассмотрен на последующих стадиях проектирования.</w:t>
            </w:r>
          </w:p>
          <w:p w14:paraId="F6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 вас выход будет осуществляться только через метро или возможно из метро? Выход через улицу? Южный и Северный выход?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Выходы из технологической связи будут предусмотрены к Станционной улице и Сигнальному проезду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Хотел бы знать стоимость проекта и всех работ.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В связи с тем, что в рамках реализации запуска пассажирского движения </w:t>
            </w:r>
            <w:r>
              <w:rPr>
                <w:rFonts w:ascii="Times New Roman" w:hAnsi="Times New Roman"/>
                <w:color w:val="000000"/>
                <w:sz w:val="26"/>
              </w:rPr>
              <w:t>участвует значительное количество компаний, единая стоимость проекта на данный момент не просчитана.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Хотелось бы уточнить по поводу парковочных мест. Планируется ли бесплатные парковочные места, для жителей района на стоянке.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Оплата на перехватывающих паркингах ТПУ МКЖД будет осуществляться, по принципу паркинга возле станций Московского метрополитена.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Что будет с ГСК «Придорожный»?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рамках ППТ ТПУ «Владыкино» ГСК «Придорожный» сохраняется.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 слышала про лифты маломобильных граждан. Могут ли воспользоваться данными лифтами мамы с колясками.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Лифты, предусмотренные в технологической связи транспортно-пересадочного узла, рассчитаны для удобства маломобильных групп населения, к которым относятся и граждане с детскими колясками.</w:t>
            </w:r>
          </w:p>
        </w:tc>
      </w:tr>
      <w:tr>
        <w:tc>
          <w:tcPr>
            <w:tcW w:type="dxa" w:w="4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 являюсь представителем ООО «Владыкинский». Просим учесть в проекте полученное ранее ГПЗУ на участок, расположенный по адресу: город Москва, ул. Ботаническая, вл. 10 Б, со всеми технико-экономическими показателями.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к сведению.</w:t>
            </w:r>
          </w:p>
        </w:tc>
      </w:tr>
    </w:tbl>
    <w:p w14:paraId="09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A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Выводы и рекомендации Окружной комиссии по проведению публичных сл</w:t>
      </w:r>
      <w:r>
        <w:rPr>
          <w:rFonts w:ascii="Times New Roman" w:hAnsi="Times New Roman"/>
          <w:b w:val="1"/>
          <w:color w:val="000000"/>
          <w:sz w:val="28"/>
        </w:rPr>
        <w:t>у</w:t>
      </w:r>
      <w:r>
        <w:rPr>
          <w:rFonts w:ascii="Times New Roman" w:hAnsi="Times New Roman"/>
          <w:b w:val="1"/>
          <w:color w:val="000000"/>
          <w:sz w:val="28"/>
        </w:rPr>
        <w:t>шаний:</w:t>
      </w:r>
    </w:p>
    <w:p w14:paraId="0B010000">
      <w:pPr>
        <w:widowControl w:val="1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C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Считать, что публичные слушания по проекту планировки территории транспортно-пересадочного узла «Владыкино» проведены в соответствии с градостроительным законодательством.</w:t>
      </w:r>
    </w:p>
    <w:p w14:paraId="0D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Одобрить проект планировки территории транспортно-пересадочного узла «Владыкино».</w:t>
      </w:r>
    </w:p>
    <w:p w14:paraId="0E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Считать целесообразным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д</w:t>
      </w:r>
      <w:r>
        <w:rPr>
          <w:rFonts w:ascii="Times New Roman" w:hAnsi="Times New Roman"/>
          <w:sz w:val="28"/>
        </w:rPr>
        <w:t>оработке проекта учесть следующе</w:t>
      </w:r>
      <w:r>
        <w:rPr>
          <w:rFonts w:ascii="Times New Roman" w:hAnsi="Times New Roman"/>
          <w:sz w:val="28"/>
        </w:rPr>
        <w:t xml:space="preserve">е: </w:t>
      </w:r>
    </w:p>
    <w:p w14:paraId="0F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организовать бесплатную парковку в районе предполагаемого паркинга.</w:t>
      </w:r>
    </w:p>
    <w:p w14:paraId="10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организовать работы по обустройству ливневой канализации на территории Сусоколовского шоссе.</w:t>
      </w:r>
    </w:p>
    <w:p w14:paraId="11010000">
      <w:pPr>
        <w:widowControl w:val="1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предусмотреть посадку взрослых деревьев.</w:t>
      </w:r>
    </w:p>
    <w:p w14:paraId="12010000">
      <w:pPr>
        <w:widowControl w:val="1"/>
        <w:ind w:firstLine="851"/>
        <w:jc w:val="both"/>
        <w:rPr>
          <w:rFonts w:ascii="Times New Roman" w:hAnsi="Times New Roman"/>
          <w:sz w:val="28"/>
        </w:rPr>
      </w:pPr>
    </w:p>
    <w:p w14:paraId="13010000">
      <w:pPr>
        <w:widowControl w:val="1"/>
        <w:ind w:firstLine="851"/>
        <w:jc w:val="both"/>
        <w:rPr>
          <w:rFonts w:ascii="Times New Roman" w:hAnsi="Times New Roman"/>
          <w:sz w:val="28"/>
        </w:rPr>
      </w:pPr>
    </w:p>
    <w:p w14:paraId="14010000">
      <w:pPr>
        <w:widowControl w:val="1"/>
        <w:ind w:firstLine="85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Подпис</w:t>
      </w:r>
      <w:r>
        <w:rPr>
          <w:rFonts w:ascii="Times New Roman" w:hAnsi="Times New Roman"/>
          <w:b w:val="1"/>
          <w:sz w:val="28"/>
        </w:rPr>
        <w:t>и членов комиссии на оригинале.</w:t>
      </w:r>
    </w:p>
    <w:sectPr>
      <w:pgSz w:h="16838" w:orient="portrait" w:w="11906"/>
      <w:pgMar w:bottom="567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Verdana" w:hAnsi="Verdana"/>
    </w:rPr>
  </w:style>
  <w:style w:default="1" w:styleId="Style_5_ch" w:type="character">
    <w:name w:val="Normal"/>
    <w:link w:val="Style_5"/>
    <w:rPr>
      <w:rFonts w:ascii="Verdana" w:hAnsi="Verdana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ucoz-forum-post"/>
    <w:basedOn w:val="Style_11"/>
    <w:link w:val="Style_10_ch"/>
  </w:style>
  <w:style w:styleId="Style_10_ch" w:type="character">
    <w:name w:val="ucoz-forum-post"/>
    <w:basedOn w:val="Style_11_ch"/>
    <w:link w:val="Style_10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4" w:type="paragraph">
    <w:name w:val="Body Text Indent 3"/>
    <w:basedOn w:val="Style_5"/>
    <w:link w:val="Style_14_ch"/>
    <w:pPr>
      <w:widowControl w:val="1"/>
      <w:spacing w:after="120"/>
      <w:ind w:left="283"/>
    </w:pPr>
    <w:rPr>
      <w:rFonts w:ascii="Times New Roman" w:hAnsi="Times New Roman"/>
      <w:sz w:val="16"/>
    </w:rPr>
  </w:style>
  <w:style w:styleId="Style_14_ch" w:type="character">
    <w:name w:val="Body Text Indent 3"/>
    <w:basedOn w:val="Style_5_ch"/>
    <w:link w:val="Style_14"/>
    <w:rPr>
      <w:rFonts w:ascii="Times New Roman" w:hAnsi="Times New Roman"/>
      <w:sz w:val="16"/>
    </w:rPr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  <w:rPr>
      <w:rFonts w:ascii="Times New Roman" w:hAnsi="Times New Roman"/>
      <w:sz w:val="28"/>
    </w:rPr>
  </w:style>
  <w:style w:styleId="Style_4_ch" w:type="character">
    <w:name w:val="List Paragraph"/>
    <w:basedOn w:val="Style_5_ch"/>
    <w:link w:val="Style_4"/>
    <w:rPr>
      <w:rFonts w:ascii="Times New Roman" w:hAnsi="Times New Roman"/>
      <w:sz w:val="28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serp-url__item"/>
    <w:link w:val="Style_2_ch"/>
  </w:style>
  <w:style w:styleId="Style_2_ch" w:type="character">
    <w:name w:val="serp-url__item"/>
    <w:link w:val="Style_2"/>
  </w:style>
  <w:style w:styleId="Style_24" w:type="paragraph">
    <w:name w:val="toc 8"/>
    <w:next w:val="Style_5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 Spacing"/>
    <w:link w:val="Style_27_ch"/>
    <w:rPr>
      <w:rFonts w:ascii="Calibri" w:hAnsi="Calibri"/>
      <w:sz w:val="22"/>
    </w:rPr>
  </w:style>
  <w:style w:styleId="Style_27_ch" w:type="character">
    <w:name w:val="No Spacing"/>
    <w:link w:val="Style_27"/>
    <w:rPr>
      <w:rFonts w:ascii="Calibri" w:hAnsi="Calibri"/>
      <w:sz w:val="22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Plain Text"/>
    <w:basedOn w:val="Style_5"/>
    <w:link w:val="Style_31_ch"/>
    <w:rPr>
      <w:rFonts w:ascii="Calibri" w:hAnsi="Calibri"/>
      <w:sz w:val="22"/>
    </w:rPr>
  </w:style>
  <w:style w:styleId="Style_31_ch" w:type="character">
    <w:name w:val="Plain Text"/>
    <w:basedOn w:val="Style_5_ch"/>
    <w:link w:val="Style_31"/>
    <w:rPr>
      <w:rFonts w:ascii="Calibri" w:hAnsi="Calibri"/>
      <w:sz w:val="22"/>
    </w:rPr>
  </w:style>
  <w:style w:styleId="Style_32" w:type="paragraph">
    <w:name w:val="Strong"/>
    <w:link w:val="Style_32_ch"/>
    <w:rPr>
      <w:b w:val="1"/>
    </w:rPr>
  </w:style>
  <w:style w:styleId="Style_32_ch" w:type="character">
    <w:name w:val="Strong"/>
    <w:link w:val="Style_32"/>
    <w:rPr>
      <w:b w:val="1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2016-05-10T11:33:00Z</dcterms:created>
  <dcterms:modified xsi:type="dcterms:W3CDTF">2025-02-06T07:35:30Z</dcterms:modified>
</cp:coreProperties>
</file>